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0F803373" w14:textId="55930721" w:rsidR="001F2591" w:rsidRDefault="00454147" w:rsidP="002712D5">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960044">
        <w:rPr>
          <w:rFonts w:ascii="Cambria" w:hAnsi="Cambria"/>
        </w:rPr>
        <w:t>[</w:t>
      </w:r>
      <w:r w:rsidR="006D7EA2">
        <w:rPr>
          <w:rFonts w:ascii="Cambria" w:hAnsi="Cambria"/>
        </w:rPr>
        <w:t>Chair, Faculty Reappointment Standing Committee</w:t>
      </w:r>
      <w:r w:rsidR="00960044">
        <w:rPr>
          <w:rFonts w:ascii="Cambria" w:hAnsi="Cambria"/>
        </w:rPr>
        <w:t>]</w:t>
      </w:r>
    </w:p>
    <w:p w14:paraId="4318E04C" w14:textId="1B9F7DC7"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A55326">
        <w:rPr>
          <w:rFonts w:ascii="Cambria" w:hAnsi="Cambria"/>
        </w:rPr>
        <w:t>[Shepherd’s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0A2A41D3" w:rsidR="00454147" w:rsidRPr="001F2591" w:rsidRDefault="00454147">
      <w:pPr>
        <w:pStyle w:val="BodyText"/>
        <w:rPr>
          <w:rFonts w:ascii="Cambria" w:hAnsi="Cambria"/>
          <w:b/>
        </w:rPr>
      </w:pPr>
      <w:r w:rsidRPr="001F2591">
        <w:rPr>
          <w:rFonts w:ascii="Cambria" w:hAnsi="Cambria"/>
          <w:b/>
        </w:rPr>
        <w:t>RE:</w:t>
      </w:r>
      <w:r w:rsidRPr="001F2591">
        <w:rPr>
          <w:rFonts w:ascii="Cambria" w:hAnsi="Cambria"/>
          <w:b/>
        </w:rPr>
        <w:tab/>
      </w:r>
      <w:r w:rsidRPr="001F2591">
        <w:rPr>
          <w:rFonts w:ascii="Cambria" w:hAnsi="Cambria"/>
          <w:b/>
        </w:rPr>
        <w:tab/>
      </w:r>
      <w:r w:rsidRPr="001F2591">
        <w:rPr>
          <w:rFonts w:ascii="Cambria" w:hAnsi="Cambria"/>
          <w:b/>
        </w:rPr>
        <w:tab/>
      </w:r>
      <w:r w:rsidRPr="001F2591">
        <w:rPr>
          <w:rFonts w:ascii="Cambria" w:hAnsi="Cambria"/>
        </w:rPr>
        <w:t xml:space="preserve">Re-appointment of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“prepare a neutral and descriptive report based on their classroom observations and review of the candidates CV.”</w:t>
      </w:r>
      <w:r w:rsidR="00776D8B">
        <w:rPr>
          <w:rFonts w:ascii="Cambria" w:hAnsi="Cambria"/>
        </w:rPr>
        <w:t>]</w:t>
      </w:r>
    </w:p>
    <w:p w14:paraId="01B7F7BB" w14:textId="65DCCEDB"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765038">
        <w:rPr>
          <w:rFonts w:ascii="Cambria" w:hAnsi="Cambria"/>
        </w:rPr>
        <w:t>; etc.</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4F82E083"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Criteria for Re-appointment</w:t>
      </w:r>
      <w:r w:rsidR="00765038">
        <w:rPr>
          <w:rFonts w:ascii="Cambria" w:hAnsi="Cambria"/>
          <w:i w:val="0"/>
        </w:rPr>
        <w:t xml:space="preserve"> </w:t>
      </w:r>
    </w:p>
    <w:p w14:paraId="7A45BA8E" w14:textId="77777777" w:rsidR="008F3A4A" w:rsidRDefault="008F3A4A" w:rsidP="008F3A4A">
      <w:pPr>
        <w:pStyle w:val="BodyText"/>
        <w:spacing w:before="120"/>
        <w:rPr>
          <w:rFonts w:ascii="Cambria" w:hAnsi="Cambria"/>
        </w:rPr>
      </w:pPr>
      <w:r>
        <w:rPr>
          <w:rFonts w:ascii="Cambria" w:hAnsi="Cambria"/>
        </w:rPr>
        <w:t>Article 2.03 Term Appointments with Review</w:t>
      </w:r>
    </w:p>
    <w:p w14:paraId="6012C45B" w14:textId="77777777" w:rsidR="008F3A4A" w:rsidRDefault="008F3A4A" w:rsidP="008F3A4A">
      <w:pPr>
        <w:pStyle w:val="BodyText"/>
        <w:numPr>
          <w:ilvl w:val="0"/>
          <w:numId w:val="3"/>
        </w:numPr>
        <w:spacing w:before="120"/>
        <w:jc w:val="both"/>
        <w:rPr>
          <w:rFonts w:ascii="Cambria" w:hAnsi="Cambria"/>
        </w:rPr>
      </w:pPr>
      <w:r>
        <w:rPr>
          <w:rFonts w:ascii="Cambria" w:hAnsi="Cambria"/>
        </w:rPr>
        <w:t>These appointments carry no implication of automatic renewal but imply that the appointee will be considered for further appointment. They are to be reviewed before expiration of the specified term in accordance with the criteria and procedures prescribed below.</w:t>
      </w:r>
    </w:p>
    <w:p w14:paraId="4B03D11E" w14:textId="77777777" w:rsidR="008F3A4A" w:rsidRDefault="008F3A4A" w:rsidP="008F3A4A">
      <w:pPr>
        <w:pStyle w:val="BodyText"/>
        <w:numPr>
          <w:ilvl w:val="0"/>
          <w:numId w:val="4"/>
        </w:numPr>
        <w:spacing w:before="120"/>
        <w:jc w:val="both"/>
        <w:rPr>
          <w:rFonts w:ascii="Cambria" w:hAnsi="Cambria"/>
        </w:rPr>
      </w:pPr>
      <w:r>
        <w:rPr>
          <w:rFonts w:ascii="Cambria" w:hAnsi="Cambria"/>
        </w:rPr>
        <w:t>Faculty members shall be reappointed to a second term if they have demonstrated sufficient progress towards, and promise of, satisfying requirements for a tenured position.</w:t>
      </w:r>
    </w:p>
    <w:p w14:paraId="6C7A419D" w14:textId="29B357E6" w:rsidR="008F3A4A" w:rsidRDefault="008F3A4A" w:rsidP="008F3A4A">
      <w:pPr>
        <w:pStyle w:val="BodyText"/>
        <w:spacing w:before="120"/>
        <w:rPr>
          <w:rFonts w:ascii="Cambria" w:hAnsi="Cambria"/>
        </w:rPr>
      </w:pPr>
      <w:r>
        <w:rPr>
          <w:rFonts w:ascii="Cambria" w:hAnsi="Cambria"/>
        </w:rPr>
        <w:t>Article 3.0</w:t>
      </w:r>
      <w:r w:rsidR="00B22B21">
        <w:rPr>
          <w:rFonts w:ascii="Cambria" w:hAnsi="Cambria"/>
        </w:rPr>
        <w:t>3</w:t>
      </w:r>
      <w:r>
        <w:rPr>
          <w:rFonts w:ascii="Cambria" w:hAnsi="Cambria"/>
        </w:rPr>
        <w:t xml:space="preserve"> </w:t>
      </w:r>
      <w:r w:rsidR="00B22B21">
        <w:rPr>
          <w:rFonts w:ascii="Cambria" w:hAnsi="Cambria"/>
        </w:rPr>
        <w:t>Assistant Professor of Teaching</w:t>
      </w:r>
    </w:p>
    <w:p w14:paraId="29341C72" w14:textId="77777777" w:rsidR="008F3A4A" w:rsidRDefault="008F3A4A" w:rsidP="008F3A4A">
      <w:pPr>
        <w:pStyle w:val="BodyText"/>
        <w:spacing w:before="120"/>
        <w:ind w:left="360"/>
        <w:jc w:val="both"/>
        <w:rPr>
          <w:rFonts w:ascii="Arial" w:hAnsi="Arial" w:cs="Arial"/>
          <w:color w:val="222222"/>
          <w:sz w:val="21"/>
          <w:szCs w:val="21"/>
          <w:shd w:val="clear" w:color="auto" w:fill="FFFFFF"/>
        </w:rPr>
      </w:pPr>
      <w:r>
        <w:rPr>
          <w:rFonts w:ascii="Cambria" w:hAnsi="Cambria"/>
          <w:lang w:val="en-CA"/>
        </w:rPr>
        <w:t>Appointment to this rank normally requires completion of academic (or, where appropriate, professional) qualifications, evidence of ability and commitment to teaching and promise of educational leadership.</w:t>
      </w:r>
    </w:p>
    <w:p w14:paraId="4F34175B" w14:textId="77777777" w:rsidR="008F3A4A" w:rsidRDefault="008F3A4A" w:rsidP="008F3A4A">
      <w:pPr>
        <w:pStyle w:val="BodyText"/>
        <w:spacing w:before="120"/>
        <w:rPr>
          <w:rFonts w:ascii="Cambria" w:hAnsi="Cambria"/>
        </w:rPr>
      </w:pPr>
      <w:r>
        <w:rPr>
          <w:rFonts w:ascii="Cambria" w:hAnsi="Cambria"/>
        </w:rPr>
        <w:t xml:space="preserve">Article 4.01 </w:t>
      </w:r>
    </w:p>
    <w:p w14:paraId="1C70E503" w14:textId="6CDC10CD" w:rsidR="008F3A4A" w:rsidRDefault="008F3A4A" w:rsidP="008F3A4A">
      <w:pPr>
        <w:pStyle w:val="BodyText"/>
        <w:numPr>
          <w:ilvl w:val="0"/>
          <w:numId w:val="5"/>
        </w:numPr>
        <w:spacing w:before="120"/>
        <w:jc w:val="both"/>
        <w:rPr>
          <w:rFonts w:ascii="Cambria" w:hAnsi="Cambria"/>
        </w:rPr>
      </w:pPr>
      <w:r>
        <w:rPr>
          <w:rFonts w:ascii="Cambria" w:hAnsi="Cambria"/>
          <w:lang w:val="en-CA"/>
        </w:rPr>
        <w:t xml:space="preserve">Candidates for […] reappointment to the rank of </w:t>
      </w:r>
      <w:r w:rsidR="00B22B21">
        <w:rPr>
          <w:rFonts w:ascii="Cambria" w:hAnsi="Cambria"/>
          <w:lang w:val="en-CA"/>
        </w:rPr>
        <w:t>Assistant Professor of Teaching</w:t>
      </w:r>
      <w:r>
        <w:rPr>
          <w:rFonts w:ascii="Cambria" w:hAnsi="Cambria"/>
          <w:lang w:val="en-CA"/>
        </w:rPr>
        <w:t xml:space="preserve"> are judged principally on performance in teaching. Service to the academic profession, to the University, and to the community may be </w:t>
      </w:r>
      <w:proofErr w:type="gramStart"/>
      <w:r>
        <w:rPr>
          <w:rFonts w:ascii="Cambria" w:hAnsi="Cambria"/>
          <w:lang w:val="en-CA"/>
        </w:rPr>
        <w:t>taken into account</w:t>
      </w:r>
      <w:proofErr w:type="gramEnd"/>
      <w:r>
        <w:rPr>
          <w:rFonts w:ascii="Cambria" w:hAnsi="Cambria"/>
          <w:lang w:val="en-CA"/>
        </w:rPr>
        <w:t xml:space="preserve">. </w:t>
      </w:r>
      <w:r w:rsidR="006D7EA2">
        <w:rPr>
          <w:rFonts w:ascii="Cambria" w:hAnsi="Cambria"/>
          <w:lang w:val="en-CA"/>
        </w:rPr>
        <w:t>Assistant Professors of Teaching</w:t>
      </w:r>
      <w:r>
        <w:rPr>
          <w:rFonts w:ascii="Cambria" w:hAnsi="Cambria"/>
          <w:lang w:val="en-CA"/>
        </w:rPr>
        <w:t xml:space="preserve"> who are candidates for a tenured appointment are judged on the ground of excellence in teaching.</w:t>
      </w:r>
    </w:p>
    <w:p w14:paraId="320E6D98" w14:textId="77777777" w:rsidR="008F3A4A" w:rsidRDefault="008F3A4A" w:rsidP="008F3A4A">
      <w:pPr>
        <w:pStyle w:val="BodyText"/>
        <w:numPr>
          <w:ilvl w:val="0"/>
          <w:numId w:val="5"/>
        </w:numPr>
        <w:spacing w:before="120"/>
        <w:jc w:val="both"/>
        <w:rPr>
          <w:rFonts w:ascii="Cambria" w:hAnsi="Cambria"/>
        </w:rPr>
      </w:pPr>
      <w:r>
        <w:rPr>
          <w:rFonts w:ascii="Cambria" w:hAnsi="Cambria"/>
        </w:rPr>
        <w:t>Judgments of an individual should be made objectively.</w:t>
      </w:r>
    </w:p>
    <w:p w14:paraId="6E8F4153" w14:textId="77777777" w:rsidR="008F3A4A" w:rsidRDefault="008F3A4A" w:rsidP="008F3A4A">
      <w:pPr>
        <w:pStyle w:val="BodyText"/>
        <w:spacing w:before="120"/>
        <w:rPr>
          <w:rFonts w:ascii="Cambria" w:hAnsi="Cambria"/>
        </w:rPr>
      </w:pPr>
      <w:r>
        <w:rPr>
          <w:rFonts w:ascii="Cambria" w:hAnsi="Cambria"/>
        </w:rPr>
        <w:t>Article 4.02 Teaching</w:t>
      </w:r>
    </w:p>
    <w:p w14:paraId="08C9F695" w14:textId="77777777" w:rsidR="008F3A4A" w:rsidRDefault="008F3A4A" w:rsidP="008F3A4A">
      <w:pPr>
        <w:pStyle w:val="BodyText"/>
        <w:spacing w:before="120"/>
        <w:ind w:left="360"/>
        <w:jc w:val="both"/>
        <w:rPr>
          <w:rFonts w:ascii="Cambria" w:hAnsi="Cambria"/>
        </w:rPr>
      </w:pPr>
      <w:r>
        <w:rPr>
          <w:rFonts w:ascii="Cambria" w:hAnsi="Cambria"/>
        </w:rPr>
        <w:lastRenderedPageBreak/>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4705551F" w14:textId="77777777" w:rsidR="008F3A4A" w:rsidRDefault="008F3A4A" w:rsidP="008F3A4A">
      <w:pPr>
        <w:pStyle w:val="BodyText"/>
        <w:spacing w:before="120"/>
        <w:rPr>
          <w:rFonts w:ascii="Cambria" w:hAnsi="Cambria"/>
        </w:rPr>
      </w:pPr>
      <w:r>
        <w:rPr>
          <w:rFonts w:ascii="Cambria" w:hAnsi="Cambria"/>
        </w:rPr>
        <w:t xml:space="preserve">Article 4.04 Educational Leadership </w:t>
      </w:r>
    </w:p>
    <w:p w14:paraId="329F596F" w14:textId="77777777" w:rsidR="008F3A4A" w:rsidRDefault="008F3A4A" w:rsidP="008F3A4A">
      <w:pPr>
        <w:pStyle w:val="BodyText"/>
        <w:tabs>
          <w:tab w:val="left" w:pos="720"/>
        </w:tabs>
        <w:spacing w:before="120"/>
        <w:ind w:left="720" w:hanging="360"/>
        <w:jc w:val="both"/>
        <w:rPr>
          <w:rFonts w:ascii="Cambria" w:hAnsi="Cambria"/>
          <w:lang w:val="en-US"/>
        </w:rPr>
      </w:pPr>
      <w:r>
        <w:rPr>
          <w:rFonts w:ascii="Cambria" w:hAnsi="Cambria"/>
          <w:lang w:val="en-US"/>
        </w:rPr>
        <w:t>a) </w:t>
      </w:r>
      <w:r>
        <w:rPr>
          <w:rFonts w:ascii="Cambria" w:hAnsi="Cambria"/>
          <w:lang w:val="en-US"/>
        </w:rPr>
        <w:tab/>
        <w:t>Educational leadership is activity taken at UBC and elsewhere to advance innovation in teaching and learning with impact beyond one’s classroom. Educational leadership includes but is not limited to such things as:</w:t>
      </w:r>
    </w:p>
    <w:p w14:paraId="2636C2A1" w14:textId="77777777" w:rsidR="008F3A4A" w:rsidRDefault="008F3A4A" w:rsidP="008F3A4A">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Application of and/or active engagement in the scholarship of teaching and learning;</w:t>
      </w:r>
    </w:p>
    <w:p w14:paraId="1DD56305" w14:textId="77777777" w:rsidR="008F3A4A" w:rsidRDefault="008F3A4A" w:rsidP="008F3A4A">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Significant contributions to curriculum development, curriculum renewal, course design, new assessment models, pedagogical innovation and other initiatives that extend beyond the member’s classroom and advance the University’s ability to excel in its teaching and learning mandates;</w:t>
      </w:r>
    </w:p>
    <w:p w14:paraId="1E448A10" w14:textId="77777777" w:rsidR="008F3A4A" w:rsidRDefault="008F3A4A" w:rsidP="008F3A4A">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Teaching, mentorship and inspiration of colleagues;</w:t>
      </w:r>
    </w:p>
    <w:p w14:paraId="46715A15" w14:textId="77777777" w:rsidR="008F3A4A" w:rsidRDefault="008F3A4A" w:rsidP="008F3A4A">
      <w:pPr>
        <w:pStyle w:val="BodyText"/>
        <w:numPr>
          <w:ilvl w:val="0"/>
          <w:numId w:val="6"/>
        </w:numPr>
        <w:tabs>
          <w:tab w:val="clear" w:pos="720"/>
          <w:tab w:val="num" w:pos="1080"/>
        </w:tabs>
        <w:spacing w:before="120"/>
        <w:ind w:left="1080"/>
        <w:rPr>
          <w:rFonts w:ascii="Cambria" w:hAnsi="Cambria"/>
          <w:lang w:val="en-US"/>
        </w:rPr>
      </w:pPr>
      <w:r>
        <w:rPr>
          <w:rFonts w:ascii="Cambria" w:hAnsi="Cambria"/>
          <w:lang w:val="en-US"/>
        </w:rPr>
        <w:t>Formal educational leadership responsibility within Department/Program/ Faculty;</w:t>
      </w:r>
    </w:p>
    <w:p w14:paraId="0599C268" w14:textId="77777777" w:rsidR="008F3A4A" w:rsidRDefault="008F3A4A" w:rsidP="008F3A4A">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Organization of and contributions to conferences, programs, symposia, workshops and other educational events on teaching and learning locally, nationally and internationally;</w:t>
      </w:r>
    </w:p>
    <w:p w14:paraId="76C3BD09" w14:textId="77777777" w:rsidR="008F3A4A" w:rsidRDefault="008F3A4A" w:rsidP="008F3A4A">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Contributions to the theory and practice of teaching and learning, including publications, book chapters, articles in peer-reviewed and professional journals, conference proceedings, software, training guidelines, instructional manuals or other resources; and</w:t>
      </w:r>
    </w:p>
    <w:p w14:paraId="4E37F762" w14:textId="77777777" w:rsidR="008F3A4A" w:rsidRDefault="008F3A4A" w:rsidP="008F3A4A">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Other activities that support evidence-based educational excellence, leadership and impact within and beyond the University.</w:t>
      </w:r>
    </w:p>
    <w:p w14:paraId="541A40D8" w14:textId="77777777" w:rsidR="008F3A4A" w:rsidRDefault="008F3A4A" w:rsidP="008F3A4A">
      <w:pPr>
        <w:pStyle w:val="BodyText"/>
        <w:tabs>
          <w:tab w:val="left" w:pos="720"/>
        </w:tabs>
        <w:spacing w:before="120"/>
        <w:ind w:left="720" w:hanging="360"/>
        <w:jc w:val="both"/>
        <w:rPr>
          <w:rFonts w:ascii="Cambria" w:hAnsi="Cambria"/>
          <w:lang w:val="en-US"/>
        </w:rPr>
      </w:pPr>
      <w:r>
        <w:rPr>
          <w:rFonts w:ascii="Cambria" w:hAnsi="Cambria"/>
          <w:lang w:val="en-US"/>
        </w:rPr>
        <w:t xml:space="preserve">b) </w:t>
      </w:r>
      <w:r>
        <w:rPr>
          <w:rFonts w:ascii="Cambria" w:hAnsi="Cambria"/>
          <w:lang w:val="en-US"/>
        </w:rPr>
        <w:tab/>
        <w:t>Judgement of educational leadership is based mainly on the quality and significance of the individual’s contributions.</w:t>
      </w:r>
    </w:p>
    <w:p w14:paraId="0E367AEF" w14:textId="77777777" w:rsidR="008F3A4A" w:rsidRDefault="008F3A4A" w:rsidP="008F3A4A">
      <w:pPr>
        <w:pStyle w:val="BodyText"/>
        <w:spacing w:before="120"/>
        <w:rPr>
          <w:rFonts w:ascii="Cambria" w:hAnsi="Cambria"/>
        </w:rPr>
      </w:pPr>
      <w:r>
        <w:rPr>
          <w:rFonts w:ascii="Cambria" w:hAnsi="Cambria"/>
        </w:rPr>
        <w:t>Article 4.05 Service to the University and the Community</w:t>
      </w:r>
    </w:p>
    <w:p w14:paraId="6D55D52C" w14:textId="77777777" w:rsidR="00B22B21" w:rsidRDefault="00B22B21">
      <w:pPr>
        <w:pStyle w:val="Heading4"/>
        <w:rPr>
          <w:rFonts w:ascii="Cambria" w:hAnsi="Cambria"/>
          <w:b w:val="0"/>
          <w:i w:val="0"/>
          <w:lang w:val="en-GB"/>
        </w:rPr>
      </w:pPr>
      <w:r w:rsidRPr="00B22B21">
        <w:rPr>
          <w:rFonts w:ascii="Cambria" w:hAnsi="Cambria"/>
          <w:b w:val="0"/>
          <w:i w:val="0"/>
          <w:lang w:val="en-GB"/>
        </w:rPr>
        <w:lastRenderedPageBreak/>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060BFDEF" w14:textId="26DFA8A7" w:rsidR="00837771" w:rsidRDefault="00B22B21">
      <w:pPr>
        <w:pStyle w:val="Heading4"/>
        <w:rPr>
          <w:rFonts w:ascii="Cambria" w:hAnsi="Cambria"/>
          <w:i w:val="0"/>
        </w:rPr>
      </w:pPr>
      <w:r w:rsidRPr="00B22B21">
        <w:rPr>
          <w:rFonts w:ascii="Cambria" w:hAnsi="Cambria"/>
          <w:b w:val="0"/>
          <w:i w:val="0"/>
          <w:lang w:val="en-GB"/>
        </w:rPr>
        <w:t>Service also includes professional, academic, and public service work done to advance the inclusion of all those who have been historically excluded based on gender, race, religion, sexuality, age, disability, or economic circumstance.</w:t>
      </w:r>
    </w:p>
    <w:p w14:paraId="051A1878" w14:textId="55297993" w:rsidR="008C62DF" w:rsidRDefault="00454147" w:rsidP="008C62DF">
      <w:pPr>
        <w:pStyle w:val="Heading4"/>
        <w:rPr>
          <w:rFonts w:ascii="Cambria" w:hAnsi="Cambria"/>
          <w:i w:val="0"/>
        </w:rPr>
      </w:pPr>
      <w:r w:rsidRPr="00B5157C">
        <w:rPr>
          <w:rFonts w:ascii="Cambria" w:hAnsi="Cambria"/>
          <w:i w:val="0"/>
        </w:rPr>
        <w:t>II.</w:t>
      </w:r>
      <w:r w:rsidRPr="00B5157C">
        <w:rPr>
          <w:rFonts w:ascii="Cambria" w:hAnsi="Cambria"/>
          <w:i w:val="0"/>
        </w:rPr>
        <w:tab/>
      </w:r>
      <w:bookmarkStart w:id="0" w:name="OLE_LINK1"/>
      <w:r w:rsidRPr="00B5157C">
        <w:rPr>
          <w:rFonts w:ascii="Cambria" w:hAnsi="Cambria"/>
          <w:i w:val="0"/>
        </w:rPr>
        <w:t>Teaching Performance</w:t>
      </w:r>
      <w:bookmarkEnd w:id="0"/>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7EECDE6E"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 xml:space="preserve">A complete list of courses is, or should be, already provided in the candidate’s CV, as well as in the table provided by the Dean’s Office summarizing Student </w:t>
      </w:r>
      <w:r w:rsidR="006D7EA2">
        <w:rPr>
          <w:rFonts w:ascii="Cambria" w:hAnsi="Cambria"/>
          <w:lang w:val="en-US"/>
        </w:rPr>
        <w:t xml:space="preserve">Experience of Instruction (SEI) data </w:t>
      </w:r>
      <w:r>
        <w:rPr>
          <w:rFonts w:ascii="Cambria" w:hAnsi="Cambria"/>
          <w:lang w:val="en-US"/>
        </w:rPr>
        <w:t>and need not be replicated here unless for ease of reference</w:t>
      </w:r>
      <w:r w:rsidRPr="00333A59">
        <w:rPr>
          <w:rFonts w:ascii="Cambria" w:hAnsi="Cambria"/>
          <w:lang w:val="en-US"/>
        </w:rPr>
        <w:t>]</w:t>
      </w:r>
    </w:p>
    <w:p w14:paraId="60221CD4" w14:textId="44921963"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Committee’s </w:t>
      </w:r>
      <w:hyperlink r:id="rId8" w:history="1">
        <w:r w:rsidRPr="000859E8">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t>Description of the candidate’s teaching responsibilities</w:t>
      </w:r>
    </w:p>
    <w:p w14:paraId="2B027A6D"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 xml:space="preserve">A quantitative summary of the amount of teaching of all kinds </w:t>
      </w:r>
      <w:r>
        <w:rPr>
          <w:rFonts w:ascii="Cambria" w:hAnsi="Cambria"/>
          <w:i/>
          <w:sz w:val="24"/>
        </w:rPr>
        <w:t xml:space="preserve">[first year, upper level, mandatory, directed research, </w:t>
      </w:r>
      <w:proofErr w:type="spellStart"/>
      <w:r>
        <w:rPr>
          <w:rFonts w:ascii="Cambria" w:hAnsi="Cambria"/>
          <w:i/>
          <w:sz w:val="24"/>
        </w:rPr>
        <w:t>etc</w:t>
      </w:r>
      <w:proofErr w:type="spellEnd"/>
      <w:r>
        <w:rPr>
          <w:rFonts w:ascii="Cambria" w:hAnsi="Cambria"/>
          <w:i/>
          <w:sz w:val="24"/>
        </w:rPr>
        <w:t xml:space="preserve">]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A statement comparing the amount of teaching to the expected norms of the Faculty</w:t>
      </w:r>
    </w:p>
    <w:p w14:paraId="6570FCFE" w14:textId="77777777" w:rsidR="008C62DF"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The quality and quantity of graduate student mentoring compared to the expected norms in the Faculty.</w:t>
      </w:r>
    </w:p>
    <w:p w14:paraId="4FAB3F3C" w14:textId="77777777" w:rsidR="008C62DF" w:rsidRDefault="008C62DF" w:rsidP="00306E7E">
      <w:pPr>
        <w:pStyle w:val="BodyText"/>
        <w:spacing w:before="120"/>
        <w:jc w:val="both"/>
        <w:rPr>
          <w:rFonts w:ascii="Cambria" w:hAnsi="Cambria"/>
        </w:rPr>
      </w:pPr>
      <w:r>
        <w:rPr>
          <w:rFonts w:ascii="Cambria" w:hAnsi="Cambria"/>
        </w:rPr>
        <w:lastRenderedPageBreak/>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19B3FC6E" w14:textId="77777777" w:rsidR="008C62DF" w:rsidRDefault="008C62DF" w:rsidP="00306E7E">
      <w:pPr>
        <w:pStyle w:val="BodyText"/>
        <w:spacing w:before="120"/>
        <w:jc w:val="both"/>
        <w:rPr>
          <w:rFonts w:ascii="Cambria" w:hAnsi="Cambria"/>
          <w:b/>
        </w:rPr>
      </w:pPr>
    </w:p>
    <w:p w14:paraId="77905817" w14:textId="77777777" w:rsidR="008C62DF" w:rsidRPr="008C62DF" w:rsidRDefault="008C62DF" w:rsidP="00306E7E">
      <w:pPr>
        <w:pStyle w:val="BodyText"/>
        <w:spacing w:before="120"/>
        <w:jc w:val="both"/>
        <w:rPr>
          <w:rFonts w:ascii="Cambria" w:hAnsi="Cambria"/>
          <w:b/>
        </w:rPr>
      </w:pPr>
      <w:r w:rsidRPr="008C62DF">
        <w:rPr>
          <w:rFonts w:ascii="Cambria" w:hAnsi="Cambria"/>
          <w:b/>
        </w:rPr>
        <w:t>B. Student Evaluations of Teaching</w:t>
      </w:r>
    </w:p>
    <w:p w14:paraId="0FBFC05F" w14:textId="7CF9B3DB"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 xml:space="preserve">Student </w:t>
      </w:r>
      <w:r w:rsidR="006D7EA2">
        <w:rPr>
          <w:rFonts w:ascii="Cambria" w:hAnsi="Cambria"/>
        </w:rPr>
        <w:t>Experience of Instruction (SEI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xml:space="preserve">, along with complete </w:t>
      </w:r>
      <w:r w:rsidR="006D7EA2">
        <w:rPr>
          <w:rFonts w:ascii="Cambria" w:hAnsi="Cambria"/>
        </w:rPr>
        <w:t>SEI</w:t>
      </w:r>
      <w:r w:rsidR="006A64E4">
        <w:rPr>
          <w:rFonts w:ascii="Cambria" w:hAnsi="Cambria"/>
        </w:rPr>
        <w:t xml:space="preserve"> reports per course.</w:t>
      </w:r>
      <w:r w:rsidRPr="001062E6">
        <w:rPr>
          <w:rFonts w:ascii="Cambria" w:hAnsi="Cambria"/>
        </w:rPr>
        <w:t>]</w:t>
      </w:r>
    </w:p>
    <w:p w14:paraId="6868443A" w14:textId="6D38C6DE" w:rsidR="008C62DF" w:rsidRDefault="008C62DF"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w:t>
      </w:r>
      <w:r w:rsidR="006D7EA2">
        <w:rPr>
          <w:rFonts w:ascii="Cambria" w:hAnsi="Cambria"/>
          <w:sz w:val="24"/>
        </w:rPr>
        <w:t>SEI</w:t>
      </w:r>
      <w:r>
        <w:rPr>
          <w:rFonts w:ascii="Cambria" w:hAnsi="Cambria"/>
          <w:sz w:val="24"/>
        </w:rPr>
        <w:t xml:space="preserve"> data, derived from the Senior Appointments Committee’s </w:t>
      </w:r>
      <w:hyperlink r:id="rId9" w:history="1">
        <w:r w:rsidRPr="000859E8">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evidence regarding the candidate’s effectiveness and the importance of candidate's educational activities to the Faculty. This may include:</w:t>
      </w:r>
    </w:p>
    <w:p w14:paraId="10BF0684" w14:textId="7FC355D6" w:rsidR="008C62DF" w:rsidRPr="00B53210" w:rsidRDefault="008C62DF" w:rsidP="008F3A4A">
      <w:pPr>
        <w:pStyle w:val="PlainText"/>
        <w:numPr>
          <w:ilvl w:val="0"/>
          <w:numId w:val="1"/>
        </w:numPr>
        <w:spacing w:before="120" w:after="120"/>
        <w:jc w:val="both"/>
        <w:rPr>
          <w:rFonts w:ascii="Cambria" w:hAnsi="Cambria"/>
          <w:i/>
          <w:sz w:val="24"/>
        </w:rPr>
      </w:pPr>
      <w:r w:rsidRPr="00B53210">
        <w:rPr>
          <w:rFonts w:ascii="Cambria" w:hAnsi="Cambria"/>
          <w:i/>
          <w:sz w:val="24"/>
        </w:rPr>
        <w:t>A summary of the candidate’s quantitative teaching evaluation scores relative to the norms of the Faculty.</w:t>
      </w:r>
    </w:p>
    <w:p w14:paraId="0B69AFA7" w14:textId="77777777" w:rsidR="008C62DF" w:rsidRPr="00B53210" w:rsidRDefault="008C62DF" w:rsidP="008F3A4A">
      <w:pPr>
        <w:pStyle w:val="PlainText"/>
        <w:numPr>
          <w:ilvl w:val="0"/>
          <w:numId w:val="1"/>
        </w:numPr>
        <w:spacing w:before="120" w:after="120"/>
        <w:jc w:val="both"/>
        <w:rPr>
          <w:rFonts w:ascii="Cambria" w:hAnsi="Cambria"/>
          <w:i/>
          <w:sz w:val="24"/>
        </w:rPr>
      </w:pPr>
      <w:r w:rsidRPr="00B53210">
        <w:rPr>
          <w:rFonts w:ascii="Cambria" w:hAnsi="Cambria"/>
          <w:i/>
          <w:sz w:val="24"/>
        </w:rPr>
        <w:t>A list and brief description of any special or remedial efforts undertaken by the candidate to improve teaching performance.</w:t>
      </w:r>
    </w:p>
    <w:p w14:paraId="708447E5" w14:textId="77777777" w:rsidR="008C62DF" w:rsidRDefault="008C62DF" w:rsidP="008F3A4A">
      <w:pPr>
        <w:pStyle w:val="PlainText"/>
        <w:numPr>
          <w:ilvl w:val="0"/>
          <w:numId w:val="1"/>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2214E285" w:rsidR="008C62DF" w:rsidRDefault="008C62DF" w:rsidP="00306E7E">
      <w:pPr>
        <w:pStyle w:val="BodyText"/>
        <w:spacing w:before="120"/>
        <w:jc w:val="both"/>
        <w:rPr>
          <w:rFonts w:ascii="Cambria" w:hAnsi="Cambria"/>
        </w:rPr>
      </w:pPr>
      <w:r>
        <w:rPr>
          <w:rFonts w:ascii="Cambria" w:hAnsi="Cambria"/>
        </w:rPr>
        <w:t xml:space="preserve">[Shepherds (and any other peer reviewers) are welcome </w:t>
      </w:r>
      <w:r w:rsidR="006A64E4">
        <w:rPr>
          <w:rFonts w:ascii="Cambria" w:hAnsi="Cambria"/>
        </w:rPr>
        <w:t xml:space="preserve">but not required </w:t>
      </w:r>
      <w:r>
        <w:rPr>
          <w:rFonts w:ascii="Cambria" w:hAnsi="Cambria"/>
        </w:rPr>
        <w:t xml:space="preserve">to use </w:t>
      </w:r>
      <w:r w:rsidR="001828C5">
        <w:rPr>
          <w:rFonts w:ascii="Cambria" w:hAnsi="Cambria"/>
        </w:rPr>
        <w:t xml:space="preserve">either the CTLT’s pilot rubric for peer reviews of teaching—developed over 2017/18 and 2018/19 in collaboration with the chair of the Senior Appointments Committee and various faculty representatives as an attempt to standardize </w:t>
      </w:r>
      <w:r w:rsidR="007F2CCB">
        <w:rPr>
          <w:rFonts w:ascii="Cambria" w:hAnsi="Cambria"/>
        </w:rPr>
        <w:t xml:space="preserve">the </w:t>
      </w:r>
      <w:r w:rsidR="001828C5">
        <w:rPr>
          <w:rFonts w:ascii="Cambria" w:hAnsi="Cambria"/>
        </w:rPr>
        <w:t xml:space="preserve">PRT criteria and ensure the credibility of PRTs as evidence across the various levels of review—or the earlier Law </w:t>
      </w:r>
      <w:r>
        <w:rPr>
          <w:rFonts w:ascii="Cambria" w:hAnsi="Cambria"/>
        </w:rPr>
        <w:t>Peer Review of Teaching form</w:t>
      </w:r>
      <w:r w:rsidR="007F2CCB">
        <w:rPr>
          <w:rFonts w:ascii="Cambria" w:hAnsi="Cambria"/>
        </w:rPr>
        <w:t>. Both of these are</w:t>
      </w:r>
      <w:r w:rsidR="001828C5">
        <w:rPr>
          <w:rFonts w:ascii="Cambria" w:hAnsi="Cambria"/>
        </w:rPr>
        <w:t xml:space="preserve"> available in the Reappointment, Promotion and Tenure directory in the Faculty Governance folder in the shared drive (G:).</w:t>
      </w:r>
      <w:r w:rsidR="006A64E4">
        <w:rPr>
          <w:rFonts w:ascii="Cambria" w:hAnsi="Cambria"/>
        </w:rPr>
        <w:t xml:space="preserve"> </w:t>
      </w:r>
      <w:r w:rsidR="001828C5">
        <w:rPr>
          <w:rFonts w:ascii="Cambria" w:hAnsi="Cambria"/>
        </w:rPr>
        <w:t>P</w:t>
      </w:r>
      <w:r w:rsidR="006A64E4">
        <w:rPr>
          <w:rFonts w:ascii="Cambria" w:hAnsi="Cambria"/>
        </w:rPr>
        <w:t>eer reviews of the candidate’s teaching can be appended to the final report.]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7EADDA49"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Pr="000859E8">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4688DF12" w14:textId="197BE390" w:rsidR="000859E8" w:rsidRPr="00B53210" w:rsidRDefault="000859E8" w:rsidP="008F3A4A">
      <w:pPr>
        <w:pStyle w:val="PlainText"/>
        <w:numPr>
          <w:ilvl w:val="0"/>
          <w:numId w:val="2"/>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Faculty.</w:t>
      </w:r>
    </w:p>
    <w:p w14:paraId="6128F2BA" w14:textId="77777777" w:rsidR="006D7EA2" w:rsidRPr="006D7EA2" w:rsidRDefault="000859E8" w:rsidP="00A73C29">
      <w:pPr>
        <w:pStyle w:val="PlainText"/>
        <w:numPr>
          <w:ilvl w:val="0"/>
          <w:numId w:val="2"/>
        </w:numPr>
        <w:spacing w:before="120" w:after="120"/>
        <w:ind w:right="-900"/>
        <w:rPr>
          <w:rFonts w:ascii="Cambria" w:hAnsi="Cambria"/>
          <w:b/>
        </w:rPr>
      </w:pPr>
      <w:r w:rsidRPr="006D7EA2">
        <w:rPr>
          <w:rFonts w:ascii="Cambria" w:hAnsi="Cambria"/>
          <w:i/>
          <w:sz w:val="24"/>
        </w:rPr>
        <w:lastRenderedPageBreak/>
        <w:t>A comment or explanatory statement if the candidate’s peer evaluations in one or more particular areas do not meet the expected standar</w:t>
      </w:r>
      <w:r w:rsidR="006D7EA2" w:rsidRPr="006D7EA2">
        <w:rPr>
          <w:rFonts w:ascii="Cambria" w:hAnsi="Cambria"/>
          <w:i/>
          <w:sz w:val="24"/>
        </w:rPr>
        <w:t>d</w:t>
      </w:r>
    </w:p>
    <w:p w14:paraId="17A653E1" w14:textId="77777777" w:rsidR="006D7EA2" w:rsidRDefault="006D7EA2" w:rsidP="006D7EA2">
      <w:pPr>
        <w:pStyle w:val="PlainText"/>
        <w:spacing w:before="120" w:after="120"/>
        <w:ind w:right="-900"/>
        <w:rPr>
          <w:rFonts w:ascii="Cambria" w:hAnsi="Cambria"/>
          <w:b/>
        </w:rPr>
      </w:pPr>
    </w:p>
    <w:p w14:paraId="1CC048C3" w14:textId="7AF4AD39" w:rsidR="00986A05" w:rsidRPr="006D7EA2" w:rsidRDefault="00986A05" w:rsidP="006D7EA2">
      <w:pPr>
        <w:pStyle w:val="PlainText"/>
        <w:spacing w:before="120" w:after="120"/>
        <w:ind w:right="-900"/>
        <w:rPr>
          <w:rFonts w:ascii="Cambria" w:hAnsi="Cambria"/>
          <w:b/>
          <w:sz w:val="24"/>
          <w:szCs w:val="24"/>
        </w:rPr>
      </w:pPr>
      <w:r w:rsidRPr="006D7EA2">
        <w:rPr>
          <w:rFonts w:ascii="Cambria" w:hAnsi="Cambria"/>
          <w:b/>
          <w:sz w:val="24"/>
          <w:szCs w:val="24"/>
        </w:rPr>
        <w:t>I</w:t>
      </w:r>
      <w:r w:rsidR="008F3A4A" w:rsidRPr="006D7EA2">
        <w:rPr>
          <w:rFonts w:ascii="Cambria" w:hAnsi="Cambria"/>
          <w:b/>
          <w:sz w:val="24"/>
          <w:szCs w:val="24"/>
        </w:rPr>
        <w:t>II</w:t>
      </w:r>
      <w:r w:rsidRPr="006D7EA2">
        <w:rPr>
          <w:rFonts w:ascii="Cambria" w:hAnsi="Cambria"/>
          <w:b/>
          <w:sz w:val="24"/>
          <w:szCs w:val="24"/>
        </w:rPr>
        <w:t>.</w:t>
      </w:r>
      <w:r w:rsidRPr="006D7EA2">
        <w:rPr>
          <w:rFonts w:ascii="Cambria" w:hAnsi="Cambria"/>
          <w:b/>
          <w:sz w:val="24"/>
          <w:szCs w:val="24"/>
        </w:rPr>
        <w:tab/>
        <w:t xml:space="preserve">Educational Leadership </w:t>
      </w:r>
    </w:p>
    <w:p w14:paraId="78170BA6" w14:textId="3F0B2E62" w:rsidR="00986A05" w:rsidRDefault="006D7EA2" w:rsidP="00306E7E">
      <w:pPr>
        <w:pStyle w:val="Heading4"/>
        <w:jc w:val="both"/>
        <w:rPr>
          <w:rFonts w:ascii="Cambria" w:hAnsi="Cambria"/>
          <w:b w:val="0"/>
          <w:i w:val="0"/>
        </w:rPr>
      </w:pPr>
      <w:r w:rsidRPr="006D7EA2">
        <w:rPr>
          <w:rFonts w:ascii="Cambria" w:hAnsi="Cambria"/>
          <w:b w:val="0"/>
          <w:i w:val="0"/>
        </w:rPr>
        <w:t>[Shepherds are not constrained in the comments they choose to provide</w:t>
      </w:r>
      <w:r>
        <w:rPr>
          <w:rFonts w:ascii="Cambria" w:hAnsi="Cambria"/>
          <w:b w:val="0"/>
          <w:i w:val="0"/>
        </w:rPr>
        <w:t>.]</w:t>
      </w:r>
      <w:bookmarkStart w:id="1" w:name="_GoBack"/>
      <w:bookmarkEnd w:id="1"/>
    </w:p>
    <w:p w14:paraId="7C7ABDD0" w14:textId="77777777" w:rsidR="006D7EA2" w:rsidRPr="006D7EA2" w:rsidRDefault="006D7EA2" w:rsidP="006D7EA2">
      <w:pPr>
        <w:pStyle w:val="BodyText"/>
        <w:rPr>
          <w:lang w:val="en-US"/>
        </w:rPr>
      </w:pPr>
    </w:p>
    <w:p w14:paraId="70999E70" w14:textId="6075A0E4" w:rsidR="00454147" w:rsidRPr="00B5157C" w:rsidRDefault="008F3A4A">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3A7A37D3" w:rsidR="0080183B" w:rsidRDefault="0080183B" w:rsidP="00306E7E">
      <w:pPr>
        <w:pStyle w:val="BodyText"/>
        <w:spacing w:before="120"/>
        <w:jc w:val="both"/>
        <w:rPr>
          <w:rFonts w:ascii="Cambria" w:hAnsi="Cambria"/>
        </w:rPr>
      </w:pPr>
      <w:r>
        <w:rPr>
          <w:rFonts w:ascii="Cambria" w:hAnsi="Cambria"/>
        </w:rPr>
        <w:t xml:space="preserve">[Shepherds are not constrained in the comments they choose to provide. </w:t>
      </w:r>
      <w:r w:rsidR="00306E7E">
        <w:rPr>
          <w:rFonts w:ascii="Cambria" w:hAnsi="Cambria"/>
        </w:rPr>
        <w:t xml:space="preserve">They may consider consulting with the chairs of the faculty (and, if applicable, university) committees on which candidates have served for comment on their participation. For service to the profession and the community, the may consider providing information related to the </w:t>
      </w:r>
      <w:r w:rsidR="00A0087E">
        <w:rPr>
          <w:rFonts w:ascii="Cambria" w:hAnsi="Cambria"/>
        </w:rPr>
        <w:t xml:space="preserve">relative </w:t>
      </w:r>
      <w:r w:rsidR="00306E7E">
        <w:rPr>
          <w:rFonts w:ascii="Cambria" w:hAnsi="Cambria"/>
        </w:rPr>
        <w:t xml:space="preserve">significance of </w:t>
      </w:r>
      <w:r w:rsidR="00A0087E">
        <w:rPr>
          <w:rFonts w:ascii="Cambria" w:hAnsi="Cambria"/>
        </w:rPr>
        <w:t>the candidate’s participation and roles.</w:t>
      </w:r>
      <w:r w:rsidR="005111BB">
        <w:rPr>
          <w:rFonts w:ascii="Cambria" w:hAnsi="Cambria"/>
        </w:rPr>
        <w:t>]</w:t>
      </w:r>
    </w:p>
    <w:p w14:paraId="797059B6" w14:textId="77777777" w:rsidR="009C5925" w:rsidRPr="009C4C69" w:rsidRDefault="009C5925" w:rsidP="009C5925">
      <w:pPr>
        <w:pStyle w:val="BodyText"/>
        <w:spacing w:before="120"/>
        <w:rPr>
          <w:rFonts w:ascii="Cambria" w:hAnsi="Cambria"/>
        </w:rPr>
      </w:pPr>
      <w:r>
        <w:rPr>
          <w:rFonts w:ascii="Cambria" w:hAnsi="Cambria"/>
        </w:rPr>
        <w:t>___________________</w:t>
      </w:r>
    </w:p>
    <w:p w14:paraId="662E8284" w14:textId="77777777" w:rsidR="009C5925" w:rsidRDefault="009C5925" w:rsidP="009C5925">
      <w:pPr>
        <w:rPr>
          <w:rFonts w:ascii="Cambria" w:hAnsi="Cambria"/>
          <w:szCs w:val="24"/>
        </w:rPr>
      </w:pPr>
      <w:r>
        <w:rPr>
          <w:rFonts w:ascii="Cambria" w:hAnsi="Cambria"/>
          <w:szCs w:val="24"/>
        </w:rPr>
        <w:t>REPORT APPENDICES:</w:t>
      </w:r>
    </w:p>
    <w:p w14:paraId="2151F545" w14:textId="77777777" w:rsidR="009C5925" w:rsidRDefault="009C5925" w:rsidP="009C5925">
      <w:pPr>
        <w:rPr>
          <w:rFonts w:ascii="Cambria" w:hAnsi="Cambria"/>
          <w:szCs w:val="24"/>
        </w:rPr>
      </w:pPr>
    </w:p>
    <w:p w14:paraId="603B2072" w14:textId="3F3BE121" w:rsidR="009C5925" w:rsidRDefault="009C5925" w:rsidP="009C5925">
      <w:pPr>
        <w:rPr>
          <w:rFonts w:ascii="Cambria" w:hAnsi="Cambria"/>
          <w:szCs w:val="24"/>
        </w:rPr>
      </w:pPr>
      <w:r>
        <w:rPr>
          <w:rFonts w:ascii="Cambria" w:hAnsi="Cambria"/>
          <w:szCs w:val="24"/>
        </w:rPr>
        <w:t xml:space="preserve">[APPENDIX A:  STUDENT </w:t>
      </w:r>
      <w:r w:rsidR="001D49E1">
        <w:rPr>
          <w:rFonts w:ascii="Cambria" w:hAnsi="Cambria"/>
          <w:szCs w:val="24"/>
        </w:rPr>
        <w:t>EXPERIENCE OF INSTRUCTION</w:t>
      </w:r>
      <w:r>
        <w:rPr>
          <w:rFonts w:ascii="Cambria" w:hAnsi="Cambria"/>
          <w:szCs w:val="24"/>
        </w:rPr>
        <w:t xml:space="preserve"> DATA SUMMARY – provided by the Dean’s Office]</w:t>
      </w:r>
    </w:p>
    <w:p w14:paraId="5758A116" w14:textId="77777777" w:rsidR="009C5925" w:rsidRDefault="009C5925" w:rsidP="009C5925">
      <w:pPr>
        <w:rPr>
          <w:rFonts w:ascii="Cambria" w:hAnsi="Cambria"/>
          <w:szCs w:val="24"/>
        </w:rPr>
      </w:pPr>
      <w:r>
        <w:rPr>
          <w:rFonts w:ascii="Cambria" w:hAnsi="Cambria"/>
          <w:szCs w:val="24"/>
        </w:rPr>
        <w:t>[APPENDIX B:  PEER REVIEW OF TEACHING REPORTS]</w:t>
      </w:r>
    </w:p>
    <w:p w14:paraId="7E28A381" w14:textId="228AB9EB" w:rsidR="009C5925" w:rsidRDefault="009C5925" w:rsidP="009C5925">
      <w:pPr>
        <w:rPr>
          <w:rFonts w:ascii="Cambria" w:hAnsi="Cambria"/>
          <w:szCs w:val="24"/>
        </w:rPr>
      </w:pPr>
      <w:r>
        <w:rPr>
          <w:rFonts w:ascii="Cambria" w:hAnsi="Cambria"/>
          <w:szCs w:val="24"/>
        </w:rPr>
        <w:t xml:space="preserve">[APPENDIX C: FULL </w:t>
      </w:r>
      <w:r w:rsidR="001D49E1">
        <w:rPr>
          <w:rFonts w:ascii="Cambria" w:hAnsi="Cambria"/>
          <w:szCs w:val="24"/>
        </w:rPr>
        <w:t>SEI</w:t>
      </w:r>
      <w:r>
        <w:rPr>
          <w:rFonts w:ascii="Cambria" w:hAnsi="Cambria"/>
          <w:szCs w:val="24"/>
        </w:rPr>
        <w:t xml:space="preserve"> REPORTS – provided by the Dean’s Office]</w:t>
      </w:r>
    </w:p>
    <w:p w14:paraId="781575E2" w14:textId="77777777" w:rsidR="009C5925" w:rsidRDefault="009C5925" w:rsidP="009C5925">
      <w:pPr>
        <w:rPr>
          <w:rFonts w:ascii="Cambria" w:hAnsi="Cambria"/>
          <w:szCs w:val="24"/>
          <w:lang w:val="en-US"/>
        </w:rPr>
      </w:pPr>
    </w:p>
    <w:p w14:paraId="6A586033" w14:textId="77777777" w:rsidR="009C5925" w:rsidRPr="00F964BC" w:rsidRDefault="009C5925" w:rsidP="009C5925">
      <w:pPr>
        <w:rPr>
          <w:rFonts w:ascii="Cambria" w:hAnsi="Cambria"/>
          <w:b/>
          <w:i/>
          <w:szCs w:val="24"/>
          <w:lang w:val="en-US"/>
        </w:rPr>
      </w:pPr>
      <w:r w:rsidRPr="00F964BC">
        <w:rPr>
          <w:rFonts w:ascii="Cambria" w:hAnsi="Cambria"/>
          <w:b/>
          <w:i/>
          <w:szCs w:val="24"/>
          <w:lang w:val="en-US"/>
        </w:rPr>
        <w:t xml:space="preserve">Please provide all Appendix </w:t>
      </w:r>
      <w:r>
        <w:rPr>
          <w:rFonts w:ascii="Cambria" w:hAnsi="Cambria"/>
          <w:b/>
          <w:i/>
          <w:szCs w:val="24"/>
          <w:lang w:val="en-US"/>
        </w:rPr>
        <w:t>d</w:t>
      </w:r>
      <w:r w:rsidRPr="00F964BC">
        <w:rPr>
          <w:rFonts w:ascii="Cambria" w:hAnsi="Cambria"/>
          <w:b/>
          <w:i/>
          <w:szCs w:val="24"/>
          <w:lang w:val="en-US"/>
        </w:rPr>
        <w:t xml:space="preserve">ocuments separately from the Shepherds’ Report, and then </w:t>
      </w:r>
      <w:r>
        <w:rPr>
          <w:rFonts w:ascii="Cambria" w:hAnsi="Cambria"/>
          <w:b/>
          <w:i/>
          <w:szCs w:val="24"/>
          <w:lang w:val="en-US"/>
        </w:rPr>
        <w:t>the Dean’s Office (</w:t>
      </w:r>
      <w:r w:rsidRPr="00F964BC">
        <w:rPr>
          <w:rFonts w:ascii="Cambria" w:hAnsi="Cambria"/>
          <w:b/>
          <w:i/>
          <w:szCs w:val="24"/>
          <w:lang w:val="en-US"/>
        </w:rPr>
        <w:t xml:space="preserve">Rosanna </w:t>
      </w:r>
      <w:r>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sectPr w:rsidR="009C5925" w:rsidRPr="00F964BC" w:rsidSect="001F2591">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E8B"/>
    <w:multiLevelType w:val="hybridMultilevel"/>
    <w:tmpl w:val="2A7AEB32"/>
    <w:lvl w:ilvl="0" w:tplc="715EA630">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3A790533"/>
    <w:multiLevelType w:val="hybridMultilevel"/>
    <w:tmpl w:val="2520B8F4"/>
    <w:lvl w:ilvl="0" w:tplc="761ECBC8">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AB180C"/>
    <w:multiLevelType w:val="multilevel"/>
    <w:tmpl w:val="9850B0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F3C85"/>
    <w:multiLevelType w:val="hybridMultilevel"/>
    <w:tmpl w:val="1594381E"/>
    <w:lvl w:ilvl="0" w:tplc="BE2893A6">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76F1"/>
    <w:rsid w:val="0007599F"/>
    <w:rsid w:val="0007696D"/>
    <w:rsid w:val="00080298"/>
    <w:rsid w:val="000859E8"/>
    <w:rsid w:val="000A23DF"/>
    <w:rsid w:val="000B2ABF"/>
    <w:rsid w:val="000B527C"/>
    <w:rsid w:val="000C435E"/>
    <w:rsid w:val="000C4EE5"/>
    <w:rsid w:val="00100370"/>
    <w:rsid w:val="001062E6"/>
    <w:rsid w:val="00122DAB"/>
    <w:rsid w:val="00132261"/>
    <w:rsid w:val="00160196"/>
    <w:rsid w:val="00161C6D"/>
    <w:rsid w:val="00175B45"/>
    <w:rsid w:val="00180B57"/>
    <w:rsid w:val="0018289F"/>
    <w:rsid w:val="001828C5"/>
    <w:rsid w:val="001906EF"/>
    <w:rsid w:val="001B4F1E"/>
    <w:rsid w:val="001B53E0"/>
    <w:rsid w:val="001C78EA"/>
    <w:rsid w:val="001D49E1"/>
    <w:rsid w:val="001F2591"/>
    <w:rsid w:val="002077E2"/>
    <w:rsid w:val="00213BCD"/>
    <w:rsid w:val="00220367"/>
    <w:rsid w:val="00233252"/>
    <w:rsid w:val="002522D5"/>
    <w:rsid w:val="002712D5"/>
    <w:rsid w:val="0027328B"/>
    <w:rsid w:val="00283220"/>
    <w:rsid w:val="00283559"/>
    <w:rsid w:val="00294EBB"/>
    <w:rsid w:val="00295217"/>
    <w:rsid w:val="002A7EFA"/>
    <w:rsid w:val="002B15AD"/>
    <w:rsid w:val="002C28E0"/>
    <w:rsid w:val="002D2DC2"/>
    <w:rsid w:val="002F56B2"/>
    <w:rsid w:val="00306E7E"/>
    <w:rsid w:val="00333A59"/>
    <w:rsid w:val="003432F5"/>
    <w:rsid w:val="00351945"/>
    <w:rsid w:val="00356FDB"/>
    <w:rsid w:val="00362843"/>
    <w:rsid w:val="003629D3"/>
    <w:rsid w:val="00366879"/>
    <w:rsid w:val="00367F2B"/>
    <w:rsid w:val="00391B41"/>
    <w:rsid w:val="00394131"/>
    <w:rsid w:val="003A4B16"/>
    <w:rsid w:val="003A509E"/>
    <w:rsid w:val="003A7C99"/>
    <w:rsid w:val="003B1C24"/>
    <w:rsid w:val="003D17B1"/>
    <w:rsid w:val="003F1C7F"/>
    <w:rsid w:val="003F242E"/>
    <w:rsid w:val="004049A0"/>
    <w:rsid w:val="004143DB"/>
    <w:rsid w:val="0042354D"/>
    <w:rsid w:val="00442648"/>
    <w:rsid w:val="00444A34"/>
    <w:rsid w:val="00454147"/>
    <w:rsid w:val="004615C3"/>
    <w:rsid w:val="00492DB1"/>
    <w:rsid w:val="00495862"/>
    <w:rsid w:val="004A508B"/>
    <w:rsid w:val="004C5421"/>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76F02"/>
    <w:rsid w:val="0058444C"/>
    <w:rsid w:val="005A1A6E"/>
    <w:rsid w:val="005B5F70"/>
    <w:rsid w:val="005B60F5"/>
    <w:rsid w:val="005D7044"/>
    <w:rsid w:val="005F27AA"/>
    <w:rsid w:val="005F3AFF"/>
    <w:rsid w:val="005F5529"/>
    <w:rsid w:val="00605605"/>
    <w:rsid w:val="00607E4E"/>
    <w:rsid w:val="00627D26"/>
    <w:rsid w:val="0063749D"/>
    <w:rsid w:val="006433BF"/>
    <w:rsid w:val="006600E8"/>
    <w:rsid w:val="006650B7"/>
    <w:rsid w:val="006904F6"/>
    <w:rsid w:val="006A64E4"/>
    <w:rsid w:val="006B0044"/>
    <w:rsid w:val="006B02F2"/>
    <w:rsid w:val="006D2E32"/>
    <w:rsid w:val="006D7EA2"/>
    <w:rsid w:val="006E4B2B"/>
    <w:rsid w:val="00712BB6"/>
    <w:rsid w:val="0074314D"/>
    <w:rsid w:val="00765038"/>
    <w:rsid w:val="007661BA"/>
    <w:rsid w:val="00776D8B"/>
    <w:rsid w:val="00783892"/>
    <w:rsid w:val="007841DC"/>
    <w:rsid w:val="00790D2D"/>
    <w:rsid w:val="007B0B38"/>
    <w:rsid w:val="007C33D9"/>
    <w:rsid w:val="007F014A"/>
    <w:rsid w:val="007F2CCB"/>
    <w:rsid w:val="007F36A4"/>
    <w:rsid w:val="007F6D9B"/>
    <w:rsid w:val="0080183B"/>
    <w:rsid w:val="00834045"/>
    <w:rsid w:val="00837771"/>
    <w:rsid w:val="0086300A"/>
    <w:rsid w:val="00863B75"/>
    <w:rsid w:val="008801CC"/>
    <w:rsid w:val="00887267"/>
    <w:rsid w:val="00895D1D"/>
    <w:rsid w:val="008B141E"/>
    <w:rsid w:val="008B49F0"/>
    <w:rsid w:val="008C62DF"/>
    <w:rsid w:val="008E441A"/>
    <w:rsid w:val="008F003D"/>
    <w:rsid w:val="008F12B8"/>
    <w:rsid w:val="008F3A4A"/>
    <w:rsid w:val="00903789"/>
    <w:rsid w:val="00907CF0"/>
    <w:rsid w:val="00916837"/>
    <w:rsid w:val="009324D7"/>
    <w:rsid w:val="00935F8B"/>
    <w:rsid w:val="009360EF"/>
    <w:rsid w:val="00960044"/>
    <w:rsid w:val="00967CEE"/>
    <w:rsid w:val="00986A05"/>
    <w:rsid w:val="00986C86"/>
    <w:rsid w:val="009A6814"/>
    <w:rsid w:val="009B33D4"/>
    <w:rsid w:val="009C4C69"/>
    <w:rsid w:val="009C5925"/>
    <w:rsid w:val="009E4B38"/>
    <w:rsid w:val="009F5417"/>
    <w:rsid w:val="00A0087E"/>
    <w:rsid w:val="00A053F7"/>
    <w:rsid w:val="00A11B43"/>
    <w:rsid w:val="00A235DF"/>
    <w:rsid w:val="00A26266"/>
    <w:rsid w:val="00A33180"/>
    <w:rsid w:val="00A44843"/>
    <w:rsid w:val="00A458E4"/>
    <w:rsid w:val="00A551CE"/>
    <w:rsid w:val="00A55326"/>
    <w:rsid w:val="00A67D1A"/>
    <w:rsid w:val="00A7415B"/>
    <w:rsid w:val="00A75131"/>
    <w:rsid w:val="00A77381"/>
    <w:rsid w:val="00AC3D9C"/>
    <w:rsid w:val="00AC731F"/>
    <w:rsid w:val="00AD373F"/>
    <w:rsid w:val="00AE7161"/>
    <w:rsid w:val="00AF615B"/>
    <w:rsid w:val="00B22B21"/>
    <w:rsid w:val="00B22D3D"/>
    <w:rsid w:val="00B5157C"/>
    <w:rsid w:val="00B51A8F"/>
    <w:rsid w:val="00B53210"/>
    <w:rsid w:val="00B649EB"/>
    <w:rsid w:val="00B951A6"/>
    <w:rsid w:val="00BB1757"/>
    <w:rsid w:val="00BC1CF1"/>
    <w:rsid w:val="00C055EC"/>
    <w:rsid w:val="00C14DC2"/>
    <w:rsid w:val="00C367D9"/>
    <w:rsid w:val="00C42C9C"/>
    <w:rsid w:val="00C477E5"/>
    <w:rsid w:val="00C629D4"/>
    <w:rsid w:val="00C63373"/>
    <w:rsid w:val="00C72768"/>
    <w:rsid w:val="00CB34EF"/>
    <w:rsid w:val="00CC743E"/>
    <w:rsid w:val="00CE0CA6"/>
    <w:rsid w:val="00CE7032"/>
    <w:rsid w:val="00CF71D6"/>
    <w:rsid w:val="00D02521"/>
    <w:rsid w:val="00D420F0"/>
    <w:rsid w:val="00D4321A"/>
    <w:rsid w:val="00D5091C"/>
    <w:rsid w:val="00D50EF6"/>
    <w:rsid w:val="00D66F1C"/>
    <w:rsid w:val="00D861FE"/>
    <w:rsid w:val="00D91CE2"/>
    <w:rsid w:val="00DB0394"/>
    <w:rsid w:val="00DB156A"/>
    <w:rsid w:val="00DB5688"/>
    <w:rsid w:val="00DE1585"/>
    <w:rsid w:val="00DE18DF"/>
    <w:rsid w:val="00DF1D90"/>
    <w:rsid w:val="00DF46F0"/>
    <w:rsid w:val="00E064B3"/>
    <w:rsid w:val="00E12831"/>
    <w:rsid w:val="00E432D8"/>
    <w:rsid w:val="00E44684"/>
    <w:rsid w:val="00E61029"/>
    <w:rsid w:val="00E61BF1"/>
    <w:rsid w:val="00E671B6"/>
    <w:rsid w:val="00EC23BA"/>
    <w:rsid w:val="00ED3002"/>
    <w:rsid w:val="00ED56A8"/>
    <w:rsid w:val="00EE062D"/>
    <w:rsid w:val="00EE2C25"/>
    <w:rsid w:val="00EF423D"/>
    <w:rsid w:val="00F04107"/>
    <w:rsid w:val="00F15B5A"/>
    <w:rsid w:val="00F23193"/>
    <w:rsid w:val="00F37EA4"/>
    <w:rsid w:val="00F56F14"/>
    <w:rsid w:val="00F93E9F"/>
    <w:rsid w:val="00FA39F3"/>
    <w:rsid w:val="00FB5D96"/>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CB2474"/>
  <w14:defaultImageDpi w14:val="300"/>
  <w15:docId w15:val="{89F0A8EA-8F29-46D4-8921-96A59042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8F3A4A"/>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84920">
      <w:bodyDiv w:val="1"/>
      <w:marLeft w:val="0"/>
      <w:marRight w:val="0"/>
      <w:marTop w:val="0"/>
      <w:marBottom w:val="0"/>
      <w:divBdr>
        <w:top w:val="none" w:sz="0" w:space="0" w:color="auto"/>
        <w:left w:val="none" w:sz="0" w:space="0" w:color="auto"/>
        <w:bottom w:val="none" w:sz="0" w:space="0" w:color="auto"/>
        <w:right w:val="none" w:sz="0" w:space="0" w:color="auto"/>
      </w:divBdr>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0DBA-6203-4200-9ED3-114DB43B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60</TotalTime>
  <Pages>5</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Liston Reappointment Report</vt:lpstr>
    </vt:vector>
  </TitlesOfParts>
  <Company>UBC</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 of Teaching - Reapp't</dc:title>
  <dc:creator>Faculty of Law</dc:creator>
  <cp:lastModifiedBy>Schmidt, Jeremy</cp:lastModifiedBy>
  <cp:revision>12</cp:revision>
  <cp:lastPrinted>2016-10-14T17:55:00Z</cp:lastPrinted>
  <dcterms:created xsi:type="dcterms:W3CDTF">2016-10-14T17:53:00Z</dcterms:created>
  <dcterms:modified xsi:type="dcterms:W3CDTF">2023-07-14T18:34:00Z</dcterms:modified>
</cp:coreProperties>
</file>